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91" w:rsidRPr="00E62113" w:rsidRDefault="00657B91" w:rsidP="00E62113">
      <w:pPr>
        <w:autoSpaceDE w:val="0"/>
        <w:autoSpaceDN w:val="0"/>
        <w:adjustRightInd w:val="0"/>
        <w:ind w:hanging="1440"/>
        <w:jc w:val="right"/>
        <w:rPr>
          <w:rFonts w:cstheme="minorHAnsi"/>
          <w:b/>
          <w:color w:val="1E1E1F"/>
          <w:sz w:val="28"/>
          <w:szCs w:val="28"/>
        </w:rPr>
      </w:pPr>
      <w:bookmarkStart w:id="0" w:name="_GoBack"/>
      <w:bookmarkEnd w:id="0"/>
      <w:r w:rsidRPr="00E62113">
        <w:rPr>
          <w:rFonts w:cstheme="minorHAnsi"/>
          <w:b/>
          <w:color w:val="1E1E1F"/>
          <w:sz w:val="28"/>
          <w:szCs w:val="28"/>
        </w:rPr>
        <w:t>ReSignifications</w:t>
      </w:r>
    </w:p>
    <w:p w:rsidR="0097407D" w:rsidRPr="00E62113" w:rsidRDefault="0097407D" w:rsidP="00E62113">
      <w:pPr>
        <w:autoSpaceDE w:val="0"/>
        <w:autoSpaceDN w:val="0"/>
        <w:adjustRightInd w:val="0"/>
        <w:jc w:val="right"/>
        <w:rPr>
          <w:rFonts w:cstheme="minorHAnsi"/>
          <w:b/>
          <w:color w:val="000000"/>
          <w:sz w:val="28"/>
          <w:szCs w:val="28"/>
        </w:rPr>
      </w:pPr>
      <w:r w:rsidRPr="00E62113">
        <w:rPr>
          <w:rFonts w:cstheme="minorHAnsi"/>
          <w:b/>
          <w:color w:val="1E1E1F"/>
          <w:sz w:val="28"/>
          <w:szCs w:val="28"/>
        </w:rPr>
        <w:t>“My color does not disfigure my honor or my wit”</w:t>
      </w:r>
    </w:p>
    <w:p w:rsidR="0097407D" w:rsidRPr="00E62113" w:rsidRDefault="007C112C" w:rsidP="00E62113">
      <w:pPr>
        <w:autoSpaceDE w:val="0"/>
        <w:autoSpaceDN w:val="0"/>
        <w:adjustRightInd w:val="0"/>
        <w:jc w:val="both"/>
        <w:rPr>
          <w:rFonts w:cstheme="minorHAnsi"/>
          <w:iCs/>
          <w:color w:val="1E1E1F"/>
          <w:sz w:val="22"/>
          <w:szCs w:val="22"/>
        </w:rPr>
      </w:pPr>
      <w:r w:rsidRPr="00E62113">
        <w:rPr>
          <w:rFonts w:cstheme="minorHAnsi"/>
          <w:iCs/>
          <w:color w:val="1E1E1F"/>
          <w:sz w:val="22"/>
          <w:szCs w:val="22"/>
        </w:rPr>
        <w:t>So declares</w:t>
      </w:r>
      <w:r w:rsidR="00D361C3" w:rsidRPr="00E62113">
        <w:rPr>
          <w:rFonts w:cstheme="minorHAnsi"/>
          <w:iCs/>
          <w:color w:val="1E1E1F"/>
          <w:sz w:val="22"/>
          <w:szCs w:val="22"/>
        </w:rPr>
        <w:t xml:space="preserve">bi-racial Portuguese poet and playwright </w:t>
      </w:r>
      <w:r w:rsidR="00162CDC" w:rsidRPr="00E62113">
        <w:rPr>
          <w:rFonts w:cstheme="minorHAnsi"/>
          <w:iCs/>
          <w:color w:val="1E1E1F"/>
          <w:sz w:val="22"/>
          <w:szCs w:val="22"/>
        </w:rPr>
        <w:t>A</w:t>
      </w:r>
      <w:r w:rsidR="0097407D" w:rsidRPr="00E62113">
        <w:rPr>
          <w:rFonts w:cstheme="minorHAnsi"/>
          <w:iCs/>
          <w:color w:val="1E1E1F"/>
          <w:sz w:val="22"/>
          <w:szCs w:val="22"/>
        </w:rPr>
        <w:t>fonso</w:t>
      </w:r>
      <w:r w:rsidR="00E62113">
        <w:rPr>
          <w:rFonts w:cstheme="minorHAnsi"/>
          <w:iCs/>
          <w:color w:val="1E1E1F"/>
          <w:sz w:val="22"/>
          <w:szCs w:val="22"/>
        </w:rPr>
        <w:t xml:space="preserve"> </w:t>
      </w:r>
      <w:r w:rsidR="00D361C3" w:rsidRPr="00E62113">
        <w:rPr>
          <w:rFonts w:cstheme="minorHAnsi"/>
          <w:iCs/>
          <w:color w:val="1E1E1F"/>
          <w:sz w:val="22"/>
          <w:szCs w:val="22"/>
        </w:rPr>
        <w:t>Á</w:t>
      </w:r>
      <w:r w:rsidR="0097407D" w:rsidRPr="00E62113">
        <w:rPr>
          <w:rFonts w:cstheme="minorHAnsi"/>
          <w:iCs/>
          <w:color w:val="1E1E1F"/>
          <w:sz w:val="22"/>
          <w:szCs w:val="22"/>
        </w:rPr>
        <w:t>lvares</w:t>
      </w:r>
      <w:r w:rsidR="00D361C3" w:rsidRPr="00E62113">
        <w:rPr>
          <w:rFonts w:cstheme="minorHAnsi"/>
          <w:iCs/>
          <w:color w:val="1E1E1F"/>
          <w:sz w:val="22"/>
          <w:szCs w:val="22"/>
        </w:rPr>
        <w:t xml:space="preserve"> in </w:t>
      </w:r>
      <w:r w:rsidR="00657B91" w:rsidRPr="00E62113">
        <w:rPr>
          <w:rFonts w:cstheme="minorHAnsi"/>
          <w:iCs/>
          <w:color w:val="1E1E1F"/>
          <w:sz w:val="22"/>
          <w:szCs w:val="22"/>
        </w:rPr>
        <w:t xml:space="preserve">response to racist taunts and prejudices to which both he and his father and fellow writer Juan Matino were subjected in Portugal in the 1500s. </w:t>
      </w:r>
      <w:r w:rsidR="00657B91" w:rsidRPr="00E62113">
        <w:rPr>
          <w:rStyle w:val="Rimandonotaapidipagina"/>
          <w:rFonts w:cstheme="minorHAnsi"/>
          <w:iCs/>
          <w:color w:val="1E1E1F"/>
          <w:sz w:val="22"/>
          <w:szCs w:val="22"/>
        </w:rPr>
        <w:footnoteReference w:id="2"/>
      </w:r>
      <w:r w:rsidR="00657B91" w:rsidRPr="00E62113">
        <w:rPr>
          <w:rFonts w:cstheme="minorHAnsi"/>
          <w:iCs/>
          <w:color w:val="1E1E1F"/>
          <w:sz w:val="22"/>
          <w:szCs w:val="22"/>
        </w:rPr>
        <w:t xml:space="preserve"> Contexts and representations of people of African descent in 16</w:t>
      </w:r>
      <w:r w:rsidR="00657B91" w:rsidRPr="00E62113">
        <w:rPr>
          <w:rFonts w:cstheme="minorHAnsi"/>
          <w:iCs/>
          <w:color w:val="1E1E1F"/>
          <w:sz w:val="22"/>
          <w:szCs w:val="22"/>
          <w:vertAlign w:val="superscript"/>
        </w:rPr>
        <w:t>th</w:t>
      </w:r>
      <w:r w:rsidR="00657B91" w:rsidRPr="00E62113">
        <w:rPr>
          <w:rFonts w:cstheme="minorHAnsi"/>
          <w:iCs/>
          <w:color w:val="1E1E1F"/>
          <w:sz w:val="22"/>
          <w:szCs w:val="22"/>
        </w:rPr>
        <w:t xml:space="preserve"> century Europe variously signified them as spectral presences with limited subject</w:t>
      </w:r>
      <w:r w:rsidR="00E62113">
        <w:rPr>
          <w:rFonts w:cstheme="minorHAnsi"/>
          <w:iCs/>
          <w:color w:val="1E1E1F"/>
          <w:sz w:val="22"/>
          <w:szCs w:val="22"/>
        </w:rPr>
        <w:t xml:space="preserve"> </w:t>
      </w:r>
      <w:r w:rsidR="00657B91" w:rsidRPr="00E62113">
        <w:rPr>
          <w:rFonts w:cstheme="minorHAnsi"/>
          <w:iCs/>
          <w:color w:val="1E1E1F"/>
          <w:sz w:val="22"/>
          <w:szCs w:val="22"/>
        </w:rPr>
        <w:t>hood despite the diversity of their social standing as aristocrats, priests, diplomats, servants and others.</w:t>
      </w:r>
      <w:r w:rsidRPr="00E62113">
        <w:rPr>
          <w:rFonts w:cstheme="minorHAnsi"/>
          <w:iCs/>
          <w:color w:val="1E1E1F"/>
          <w:sz w:val="22"/>
          <w:szCs w:val="22"/>
        </w:rPr>
        <w:t xml:space="preserve"> Unlike the past, virtually every European space is populated by more African migrants and people of African descent whose presences are similarly in question.It is the representations and iconographies of presenting people of African descent that sparked the directions of this exhibition.</w:t>
      </w:r>
    </w:p>
    <w:p w:rsidR="007C112C" w:rsidRPr="00E62113" w:rsidRDefault="0097407D" w:rsidP="00E62113">
      <w:pPr>
        <w:tabs>
          <w:tab w:val="left" w:pos="993"/>
        </w:tabs>
        <w:autoSpaceDE w:val="0"/>
        <w:autoSpaceDN w:val="0"/>
        <w:adjustRightInd w:val="0"/>
        <w:jc w:val="both"/>
        <w:rPr>
          <w:rFonts w:cstheme="minorHAnsi"/>
          <w:color w:val="1E1E1F"/>
          <w:sz w:val="22"/>
          <w:szCs w:val="22"/>
        </w:rPr>
      </w:pPr>
      <w:r w:rsidRPr="00E62113">
        <w:rPr>
          <w:rFonts w:cstheme="minorHAnsi"/>
          <w:i/>
          <w:color w:val="3B3B3D"/>
          <w:sz w:val="22"/>
          <w:szCs w:val="22"/>
        </w:rPr>
        <w:t>Re</w:t>
      </w:r>
      <w:r w:rsidR="00F54AAA" w:rsidRPr="00E62113">
        <w:rPr>
          <w:rFonts w:cstheme="minorHAnsi"/>
          <w:i/>
          <w:color w:val="3B3B3D"/>
          <w:sz w:val="22"/>
          <w:szCs w:val="22"/>
        </w:rPr>
        <w:t>S</w:t>
      </w:r>
      <w:r w:rsidRPr="00E62113">
        <w:rPr>
          <w:rFonts w:cstheme="minorHAnsi"/>
          <w:i/>
          <w:color w:val="3B3B3D"/>
          <w:sz w:val="22"/>
          <w:szCs w:val="22"/>
        </w:rPr>
        <w:t>ignifications</w:t>
      </w:r>
      <w:r w:rsidRPr="00E62113">
        <w:rPr>
          <w:rFonts w:cstheme="minorHAnsi"/>
          <w:color w:val="3B3B3D"/>
          <w:sz w:val="22"/>
          <w:szCs w:val="22"/>
        </w:rPr>
        <w:t xml:space="preserve"> invokes classical and popular representations of </w:t>
      </w:r>
      <w:r w:rsidR="0055664B" w:rsidRPr="00E62113">
        <w:rPr>
          <w:rFonts w:cstheme="minorHAnsi"/>
          <w:color w:val="3B3B3D"/>
          <w:sz w:val="22"/>
          <w:szCs w:val="22"/>
        </w:rPr>
        <w:t>African</w:t>
      </w:r>
      <w:r w:rsidRPr="00E62113">
        <w:rPr>
          <w:rFonts w:cstheme="minorHAnsi"/>
          <w:color w:val="3B3B3D"/>
          <w:sz w:val="22"/>
          <w:szCs w:val="22"/>
        </w:rPr>
        <w:t xml:space="preserve"> bodies in </w:t>
      </w:r>
      <w:r w:rsidR="0055664B" w:rsidRPr="00E62113">
        <w:rPr>
          <w:rFonts w:cstheme="minorHAnsi"/>
          <w:color w:val="3B3B3D"/>
          <w:sz w:val="22"/>
          <w:szCs w:val="22"/>
        </w:rPr>
        <w:t>European</w:t>
      </w:r>
      <w:r w:rsidRPr="00E62113">
        <w:rPr>
          <w:rFonts w:cstheme="minorHAnsi"/>
          <w:color w:val="3B3B3D"/>
          <w:sz w:val="22"/>
          <w:szCs w:val="22"/>
        </w:rPr>
        <w:t xml:space="preserve"> art, culture and history. It moderates and subverts their particular artistic conventions </w:t>
      </w:r>
      <w:r w:rsidR="00657B91" w:rsidRPr="00E62113">
        <w:rPr>
          <w:rFonts w:cstheme="minorHAnsi"/>
          <w:color w:val="3B3B3D"/>
          <w:sz w:val="22"/>
          <w:szCs w:val="22"/>
        </w:rPr>
        <w:t xml:space="preserve">and subjects </w:t>
      </w:r>
      <w:r w:rsidRPr="00E62113">
        <w:rPr>
          <w:rFonts w:cstheme="minorHAnsi"/>
          <w:color w:val="3B3B3D"/>
          <w:sz w:val="22"/>
          <w:szCs w:val="22"/>
        </w:rPr>
        <w:t xml:space="preserve">by using the works of contemporary artists to engage in dialogue with the broad historical array of ornamental representations of </w:t>
      </w:r>
      <w:r w:rsidR="009B5856" w:rsidRPr="00E62113">
        <w:rPr>
          <w:rFonts w:cstheme="minorHAnsi"/>
          <w:color w:val="3B3B3D"/>
          <w:sz w:val="22"/>
          <w:szCs w:val="22"/>
        </w:rPr>
        <w:t xml:space="preserve">such bodies. </w:t>
      </w:r>
      <w:r w:rsidRPr="00E62113">
        <w:rPr>
          <w:rFonts w:cstheme="minorHAnsi"/>
          <w:color w:val="3B3B3D"/>
          <w:sz w:val="22"/>
          <w:szCs w:val="22"/>
        </w:rPr>
        <w:t>The artists in this exhibition speak against the background</w:t>
      </w:r>
      <w:r w:rsidRPr="00E62113">
        <w:rPr>
          <w:rFonts w:eastAsia="MS Mincho" w:hAnsi="Helvetica" w:cstheme="minorHAnsi"/>
          <w:color w:val="3B3B3D"/>
          <w:sz w:val="22"/>
          <w:szCs w:val="22"/>
        </w:rPr>
        <w:t> </w:t>
      </w:r>
      <w:r w:rsidRPr="00E62113">
        <w:rPr>
          <w:rFonts w:cstheme="minorHAnsi"/>
          <w:color w:val="3B3B3D"/>
          <w:sz w:val="22"/>
          <w:szCs w:val="22"/>
        </w:rPr>
        <w:t xml:space="preserve">of the connected histories of </w:t>
      </w:r>
      <w:r w:rsidR="0055664B" w:rsidRPr="00E62113">
        <w:rPr>
          <w:rFonts w:cstheme="minorHAnsi"/>
          <w:color w:val="3B3B3D"/>
          <w:sz w:val="22"/>
          <w:szCs w:val="22"/>
        </w:rPr>
        <w:t>Europe</w:t>
      </w:r>
      <w:r w:rsidR="00657B91" w:rsidRPr="00E62113">
        <w:rPr>
          <w:rFonts w:cstheme="minorHAnsi"/>
          <w:color w:val="3B3B3D"/>
          <w:sz w:val="22"/>
          <w:szCs w:val="22"/>
        </w:rPr>
        <w:t xml:space="preserve">, </w:t>
      </w:r>
      <w:r w:rsidR="0055664B" w:rsidRPr="00E62113">
        <w:rPr>
          <w:rFonts w:cstheme="minorHAnsi"/>
          <w:color w:val="3B3B3D"/>
          <w:sz w:val="22"/>
          <w:szCs w:val="22"/>
        </w:rPr>
        <w:t>Africa</w:t>
      </w:r>
      <w:r w:rsidR="00657B91" w:rsidRPr="00E62113">
        <w:rPr>
          <w:rFonts w:cstheme="minorHAnsi"/>
          <w:color w:val="3B3B3D"/>
          <w:sz w:val="22"/>
          <w:szCs w:val="22"/>
        </w:rPr>
        <w:t xml:space="preserve"> and the Americas as well as various locations of</w:t>
      </w:r>
      <w:r w:rsidR="0055664B" w:rsidRPr="00E62113">
        <w:rPr>
          <w:rFonts w:cstheme="minorHAnsi"/>
          <w:color w:val="3B3B3D"/>
          <w:sz w:val="22"/>
          <w:szCs w:val="22"/>
        </w:rPr>
        <w:t>African</w:t>
      </w:r>
      <w:r w:rsidRPr="00E62113">
        <w:rPr>
          <w:rFonts w:cstheme="minorHAnsi"/>
          <w:color w:val="3B3B3D"/>
          <w:sz w:val="22"/>
          <w:szCs w:val="22"/>
        </w:rPr>
        <w:t xml:space="preserve"> Diasporas. </w:t>
      </w:r>
      <w:r w:rsidR="00632887" w:rsidRPr="00E62113">
        <w:rPr>
          <w:rFonts w:cstheme="minorHAnsi"/>
          <w:color w:val="3B3B3D"/>
          <w:sz w:val="22"/>
          <w:szCs w:val="22"/>
        </w:rPr>
        <w:t xml:space="preserve">Its premise is </w:t>
      </w:r>
      <w:r w:rsidRPr="00E62113">
        <w:rPr>
          <w:rFonts w:cstheme="minorHAnsi"/>
          <w:color w:val="3B3B3D"/>
          <w:sz w:val="22"/>
          <w:szCs w:val="22"/>
        </w:rPr>
        <w:t>from the ubiquitous model</w:t>
      </w:r>
      <w:r w:rsidR="009B5856" w:rsidRPr="00E62113">
        <w:rPr>
          <w:rFonts w:cstheme="minorHAnsi"/>
          <w:color w:val="3B3B3D"/>
          <w:sz w:val="22"/>
          <w:szCs w:val="22"/>
        </w:rPr>
        <w:t>s</w:t>
      </w:r>
      <w:r w:rsidRPr="00E62113">
        <w:rPr>
          <w:rFonts w:cstheme="minorHAnsi"/>
          <w:color w:val="3B3B3D"/>
          <w:sz w:val="22"/>
          <w:szCs w:val="22"/>
        </w:rPr>
        <w:t xml:space="preserve"> of decorative art known as the “Blackamoor</w:t>
      </w:r>
      <w:r w:rsidR="009B5856" w:rsidRPr="00E62113">
        <w:rPr>
          <w:rFonts w:cstheme="minorHAnsi"/>
          <w:color w:val="3B3B3D"/>
          <w:sz w:val="22"/>
          <w:szCs w:val="22"/>
        </w:rPr>
        <w:t xml:space="preserve">s” - </w:t>
      </w:r>
      <w:r w:rsidR="009B5856" w:rsidRPr="00E62113">
        <w:rPr>
          <w:rFonts w:cstheme="minorHAnsi"/>
          <w:color w:val="1E1E1F"/>
          <w:sz w:val="22"/>
          <w:szCs w:val="22"/>
        </w:rPr>
        <w:t>furniture, sculptures, paintings, and tapestries – that portray African bodies in service, as domestic workers, soldiers, porters, and custodians of palatial properties</w:t>
      </w:r>
      <w:r w:rsidRPr="00E62113">
        <w:rPr>
          <w:rFonts w:cstheme="minorHAnsi"/>
          <w:color w:val="3B3B3D"/>
          <w:sz w:val="22"/>
          <w:szCs w:val="22"/>
        </w:rPr>
        <w:t xml:space="preserve">” </w:t>
      </w:r>
      <w:r w:rsidR="009B5856" w:rsidRPr="00E62113">
        <w:rPr>
          <w:rFonts w:cstheme="minorHAnsi"/>
          <w:color w:val="3B3B3D"/>
          <w:sz w:val="22"/>
          <w:szCs w:val="22"/>
        </w:rPr>
        <w:t>initially made in the 17</w:t>
      </w:r>
      <w:r w:rsidR="009B5856" w:rsidRPr="00E62113">
        <w:rPr>
          <w:rFonts w:cstheme="minorHAnsi"/>
          <w:color w:val="3B3B3D"/>
          <w:sz w:val="22"/>
          <w:szCs w:val="22"/>
          <w:vertAlign w:val="superscript"/>
        </w:rPr>
        <w:t>th</w:t>
      </w:r>
      <w:r w:rsidR="009B5856" w:rsidRPr="00E62113">
        <w:rPr>
          <w:rFonts w:cstheme="minorHAnsi"/>
          <w:color w:val="3B3B3D"/>
          <w:sz w:val="22"/>
          <w:szCs w:val="22"/>
        </w:rPr>
        <w:t xml:space="preserve"> century and continuously produced through the 19</w:t>
      </w:r>
      <w:r w:rsidR="009B5856" w:rsidRPr="00E62113">
        <w:rPr>
          <w:rFonts w:cstheme="minorHAnsi"/>
          <w:color w:val="3B3B3D"/>
          <w:sz w:val="22"/>
          <w:szCs w:val="22"/>
          <w:vertAlign w:val="superscript"/>
        </w:rPr>
        <w:t>th</w:t>
      </w:r>
      <w:r w:rsidR="00F54AAA" w:rsidRPr="00E62113">
        <w:rPr>
          <w:rFonts w:cstheme="minorHAnsi"/>
          <w:color w:val="3B3B3D"/>
          <w:sz w:val="22"/>
          <w:szCs w:val="22"/>
        </w:rPr>
        <w:t>and 20</w:t>
      </w:r>
      <w:r w:rsidR="00F54AAA" w:rsidRPr="00E62113">
        <w:rPr>
          <w:rFonts w:cstheme="minorHAnsi"/>
          <w:color w:val="3B3B3D"/>
          <w:sz w:val="22"/>
          <w:szCs w:val="22"/>
          <w:vertAlign w:val="superscript"/>
        </w:rPr>
        <w:t>th</w:t>
      </w:r>
      <w:r w:rsidR="00F54AAA" w:rsidRPr="00E62113">
        <w:rPr>
          <w:rFonts w:cstheme="minorHAnsi"/>
          <w:color w:val="3B3B3D"/>
          <w:sz w:val="22"/>
          <w:szCs w:val="22"/>
        </w:rPr>
        <w:t xml:space="preserve"> centuries</w:t>
      </w:r>
      <w:r w:rsidR="00632887" w:rsidRPr="00E62113">
        <w:rPr>
          <w:rFonts w:cstheme="minorHAnsi"/>
          <w:color w:val="3B3B3D"/>
          <w:sz w:val="22"/>
          <w:szCs w:val="22"/>
        </w:rPr>
        <w:t>.</w:t>
      </w:r>
      <w:r w:rsidR="00F54AAA" w:rsidRPr="00E62113">
        <w:rPr>
          <w:rFonts w:cstheme="minorHAnsi"/>
          <w:color w:val="1E1E1F"/>
          <w:sz w:val="22"/>
          <w:szCs w:val="22"/>
        </w:rPr>
        <w:t xml:space="preserve">Our own era is peppered with the resurrections and contemporary renditions of these figures across a variety of media and spaces – from private homes, hotels, and museums, to aspirational fashion and jewelry. </w:t>
      </w:r>
      <w:r w:rsidR="00657B91" w:rsidRPr="00E62113">
        <w:rPr>
          <w:rFonts w:cstheme="minorHAnsi"/>
          <w:color w:val="1E1E1F"/>
          <w:sz w:val="22"/>
          <w:szCs w:val="22"/>
        </w:rPr>
        <w:t xml:space="preserve">Carved in polychrome wood, </w:t>
      </w:r>
      <w:r w:rsidR="007C112C" w:rsidRPr="00E62113">
        <w:rPr>
          <w:rFonts w:cstheme="minorHAnsi"/>
          <w:color w:val="1E1E1F"/>
          <w:sz w:val="22"/>
          <w:szCs w:val="22"/>
        </w:rPr>
        <w:t xml:space="preserve">in bronze and marble, </w:t>
      </w:r>
      <w:r w:rsidR="00A155AA" w:rsidRPr="00E62113">
        <w:rPr>
          <w:rFonts w:cstheme="minorHAnsi"/>
          <w:color w:val="1E1E1F"/>
          <w:sz w:val="22"/>
          <w:szCs w:val="22"/>
        </w:rPr>
        <w:t xml:space="preserve">glass or other media, </w:t>
      </w:r>
      <w:r w:rsidR="007C112C" w:rsidRPr="00E62113">
        <w:rPr>
          <w:rFonts w:cstheme="minorHAnsi"/>
          <w:color w:val="1E1E1F"/>
          <w:sz w:val="22"/>
          <w:szCs w:val="22"/>
        </w:rPr>
        <w:t>their function as furniture, head pieces of other artifacts such as pommels on swords, vases and others begs intense questions. The ‘Blackamoor’ it seems is a figure in ‘civilizational transition</w:t>
      </w:r>
      <w:r w:rsidR="00A155AA" w:rsidRPr="00E62113">
        <w:rPr>
          <w:rFonts w:cstheme="minorHAnsi"/>
          <w:color w:val="1E1E1F"/>
          <w:sz w:val="22"/>
          <w:szCs w:val="22"/>
        </w:rPr>
        <w:t>s</w:t>
      </w:r>
      <w:r w:rsidR="007C112C" w:rsidRPr="00E62113">
        <w:rPr>
          <w:rFonts w:cstheme="minorHAnsi"/>
          <w:color w:val="1E1E1F"/>
          <w:sz w:val="22"/>
          <w:szCs w:val="22"/>
        </w:rPr>
        <w:t>’</w:t>
      </w:r>
      <w:r w:rsidR="00A155AA" w:rsidRPr="00E62113">
        <w:rPr>
          <w:rFonts w:cstheme="minorHAnsi"/>
          <w:color w:val="1E1E1F"/>
          <w:sz w:val="22"/>
          <w:szCs w:val="22"/>
        </w:rPr>
        <w:t xml:space="preserve"> which continues to play itself out in Europe and its outposts such as the Americas.</w:t>
      </w:r>
      <w:r w:rsidR="007C112C" w:rsidRPr="00E62113">
        <w:rPr>
          <w:rStyle w:val="Rimandonotaapidipagina"/>
          <w:rFonts w:cstheme="minorHAnsi"/>
          <w:color w:val="1E1E1F"/>
          <w:sz w:val="22"/>
          <w:szCs w:val="22"/>
        </w:rPr>
        <w:footnoteReference w:id="3"/>
      </w:r>
      <w:r w:rsidR="00A155AA" w:rsidRPr="00E62113">
        <w:rPr>
          <w:rFonts w:cstheme="minorHAnsi"/>
          <w:color w:val="1E1E1F"/>
          <w:sz w:val="22"/>
          <w:szCs w:val="22"/>
        </w:rPr>
        <w:t>For the historical objects</w:t>
      </w:r>
      <w:r w:rsidR="002B5275" w:rsidRPr="00E62113">
        <w:rPr>
          <w:rFonts w:cstheme="minorHAnsi"/>
          <w:color w:val="1E1E1F"/>
          <w:sz w:val="22"/>
          <w:szCs w:val="22"/>
        </w:rPr>
        <w:t xml:space="preserve"> whose signifiers denote </w:t>
      </w:r>
      <w:r w:rsidR="009F3158" w:rsidRPr="00E62113">
        <w:rPr>
          <w:rFonts w:cstheme="minorHAnsi"/>
          <w:color w:val="1E1E1F"/>
          <w:sz w:val="22"/>
          <w:szCs w:val="22"/>
        </w:rPr>
        <w:t>migratory paths and attendant tensions of residency and citizenship, they sometimes simultaneously read as amalgams of African and Moorish Muslims as the</w:t>
      </w:r>
      <w:r w:rsidR="000B2CDC" w:rsidRPr="00E62113">
        <w:rPr>
          <w:rFonts w:cstheme="minorHAnsi"/>
          <w:color w:val="1E1E1F"/>
          <w:sz w:val="22"/>
          <w:szCs w:val="22"/>
        </w:rPr>
        <w:t>y</w:t>
      </w:r>
      <w:r w:rsidR="009F3158" w:rsidRPr="00E62113">
        <w:rPr>
          <w:rFonts w:cstheme="minorHAnsi"/>
          <w:color w:val="1E1E1F"/>
          <w:sz w:val="22"/>
          <w:szCs w:val="22"/>
        </w:rPr>
        <w:t xml:space="preserve"> encountered and moderated historical spaces in Europe. W</w:t>
      </w:r>
      <w:r w:rsidR="00F54AAA" w:rsidRPr="00E62113">
        <w:rPr>
          <w:rFonts w:cstheme="minorHAnsi"/>
          <w:color w:val="1E1E1F"/>
          <w:sz w:val="22"/>
          <w:szCs w:val="22"/>
        </w:rPr>
        <w:t xml:space="preserve">ho made them and why? What traditions of decorative art production and collection do they represent? What material histories and cultural meanings do they encode? How might contemporary artists interpret these meanings from diverse disciplinary perspectives? How do artists in our own time re-make these meanings through contemporary works of photography, sculpture, and film? </w:t>
      </w:r>
    </w:p>
    <w:p w:rsidR="0097407D" w:rsidRPr="00E62113" w:rsidRDefault="00632887" w:rsidP="00E62113">
      <w:pPr>
        <w:widowControl w:val="0"/>
        <w:tabs>
          <w:tab w:val="left" w:pos="993"/>
        </w:tabs>
        <w:autoSpaceDE w:val="0"/>
        <w:autoSpaceDN w:val="0"/>
        <w:adjustRightInd w:val="0"/>
        <w:jc w:val="both"/>
        <w:rPr>
          <w:rFonts w:cstheme="minorHAnsi"/>
          <w:color w:val="3B3B3D"/>
          <w:sz w:val="22"/>
          <w:szCs w:val="22"/>
        </w:rPr>
      </w:pPr>
      <w:r w:rsidRPr="00E62113">
        <w:rPr>
          <w:rFonts w:cstheme="minorHAnsi"/>
          <w:i/>
          <w:color w:val="3B3B3D"/>
          <w:sz w:val="22"/>
          <w:szCs w:val="22"/>
        </w:rPr>
        <w:t>ReSignifications</w:t>
      </w:r>
      <w:r w:rsidR="00E62113">
        <w:rPr>
          <w:rFonts w:cstheme="minorHAnsi"/>
          <w:i/>
          <w:color w:val="3B3B3D"/>
          <w:sz w:val="22"/>
          <w:szCs w:val="22"/>
        </w:rPr>
        <w:t xml:space="preserve"> </w:t>
      </w:r>
      <w:r w:rsidR="000B2CDC" w:rsidRPr="00E62113">
        <w:rPr>
          <w:rFonts w:cstheme="minorHAnsi"/>
          <w:color w:val="3B3B3D"/>
          <w:sz w:val="22"/>
          <w:szCs w:val="22"/>
        </w:rPr>
        <w:t>began its expression in Florence, Italy, where its used over 30 Blackamoors in the Acton Collection of Villa La Pietra as a prompt. This abbreviated version of a much larger exhibition is a stop over as it continues its journey to the Manifesta Biennal</w:t>
      </w:r>
      <w:r w:rsidR="00E62113">
        <w:rPr>
          <w:rFonts w:cstheme="minorHAnsi"/>
          <w:color w:val="3B3B3D"/>
          <w:sz w:val="22"/>
          <w:szCs w:val="22"/>
        </w:rPr>
        <w:t>e</w:t>
      </w:r>
      <w:r w:rsidR="000B2CDC" w:rsidRPr="00E62113">
        <w:rPr>
          <w:rFonts w:cstheme="minorHAnsi"/>
          <w:color w:val="3B3B3D"/>
          <w:sz w:val="22"/>
          <w:szCs w:val="22"/>
        </w:rPr>
        <w:t xml:space="preserve"> i</w:t>
      </w:r>
      <w:r w:rsidR="00010254" w:rsidRPr="00E62113">
        <w:rPr>
          <w:rFonts w:cstheme="minorHAnsi"/>
          <w:color w:val="3B3B3D"/>
          <w:sz w:val="22"/>
          <w:szCs w:val="22"/>
        </w:rPr>
        <w:t xml:space="preserve">n Palermo. The exhibition </w:t>
      </w:r>
      <w:r w:rsidRPr="00E62113">
        <w:rPr>
          <w:rFonts w:cstheme="minorHAnsi"/>
          <w:color w:val="3B3B3D"/>
          <w:sz w:val="22"/>
          <w:szCs w:val="22"/>
        </w:rPr>
        <w:t xml:space="preserve">confronts </w:t>
      </w:r>
      <w:r w:rsidR="00010254" w:rsidRPr="00E62113">
        <w:rPr>
          <w:rFonts w:cstheme="minorHAnsi"/>
          <w:color w:val="3B3B3D"/>
          <w:sz w:val="22"/>
          <w:szCs w:val="22"/>
        </w:rPr>
        <w:t xml:space="preserve">Blackamoor </w:t>
      </w:r>
      <w:r w:rsidRPr="00E62113">
        <w:rPr>
          <w:rFonts w:cstheme="minorHAnsi"/>
          <w:color w:val="3B3B3D"/>
          <w:sz w:val="22"/>
          <w:szCs w:val="22"/>
        </w:rPr>
        <w:t xml:space="preserve">representations with audacious </w:t>
      </w:r>
      <w:r w:rsidR="009F3158" w:rsidRPr="00E62113">
        <w:rPr>
          <w:rFonts w:cstheme="minorHAnsi"/>
          <w:color w:val="3B3B3D"/>
          <w:sz w:val="22"/>
          <w:szCs w:val="22"/>
        </w:rPr>
        <w:t xml:space="preserve">interpretive </w:t>
      </w:r>
      <w:r w:rsidRPr="00E62113">
        <w:rPr>
          <w:rFonts w:cstheme="minorHAnsi"/>
          <w:color w:val="3B3B3D"/>
          <w:sz w:val="22"/>
          <w:szCs w:val="22"/>
        </w:rPr>
        <w:t xml:space="preserve">presentations of </w:t>
      </w:r>
      <w:r w:rsidR="00010254" w:rsidRPr="00E62113">
        <w:rPr>
          <w:rFonts w:cstheme="minorHAnsi"/>
          <w:color w:val="3B3B3D"/>
          <w:sz w:val="22"/>
          <w:szCs w:val="22"/>
        </w:rPr>
        <w:t>African</w:t>
      </w:r>
      <w:r w:rsidRPr="00E62113">
        <w:rPr>
          <w:rFonts w:cstheme="minorHAnsi"/>
          <w:color w:val="3B3B3D"/>
          <w:sz w:val="22"/>
          <w:szCs w:val="22"/>
        </w:rPr>
        <w:t xml:space="preserve"> bodies as protagonists of histories and cultures. </w:t>
      </w:r>
      <w:r w:rsidR="0097407D" w:rsidRPr="00E62113">
        <w:rPr>
          <w:rFonts w:cstheme="minorHAnsi"/>
          <w:color w:val="3B3B3D"/>
          <w:sz w:val="22"/>
          <w:szCs w:val="22"/>
        </w:rPr>
        <w:t xml:space="preserve">The exhibition combines styles across time and place to reframe and refract the history of representing </w:t>
      </w:r>
      <w:r w:rsidR="0055664B" w:rsidRPr="00E62113">
        <w:rPr>
          <w:rFonts w:cstheme="minorHAnsi"/>
          <w:color w:val="3B3B3D"/>
          <w:sz w:val="22"/>
          <w:szCs w:val="22"/>
        </w:rPr>
        <w:t>African</w:t>
      </w:r>
      <w:r w:rsidR="0097407D" w:rsidRPr="00E62113">
        <w:rPr>
          <w:rFonts w:cstheme="minorHAnsi"/>
          <w:color w:val="3B3B3D"/>
          <w:sz w:val="22"/>
          <w:szCs w:val="22"/>
        </w:rPr>
        <w:t xml:space="preserve"> and </w:t>
      </w:r>
      <w:r w:rsidR="0055664B" w:rsidRPr="00E62113">
        <w:rPr>
          <w:rFonts w:cstheme="minorHAnsi"/>
          <w:color w:val="3B3B3D"/>
          <w:sz w:val="22"/>
          <w:szCs w:val="22"/>
        </w:rPr>
        <w:t>African</w:t>
      </w:r>
      <w:r w:rsidR="0097407D" w:rsidRPr="00E62113">
        <w:rPr>
          <w:rFonts w:cstheme="minorHAnsi"/>
          <w:color w:val="3B3B3D"/>
          <w:sz w:val="22"/>
          <w:szCs w:val="22"/>
        </w:rPr>
        <w:t xml:space="preserve"> diasporic bodies. </w:t>
      </w:r>
      <w:r w:rsidR="0055664B" w:rsidRPr="00E62113">
        <w:rPr>
          <w:rFonts w:cstheme="minorHAnsi"/>
          <w:color w:val="3B3B3D"/>
          <w:sz w:val="22"/>
          <w:szCs w:val="22"/>
        </w:rPr>
        <w:t xml:space="preserve">The unusual </w:t>
      </w:r>
      <w:r w:rsidR="00A155AA" w:rsidRPr="00E62113">
        <w:rPr>
          <w:rFonts w:cstheme="minorHAnsi"/>
          <w:color w:val="3B3B3D"/>
          <w:sz w:val="22"/>
          <w:szCs w:val="22"/>
        </w:rPr>
        <w:t xml:space="preserve">and deliberate </w:t>
      </w:r>
      <w:r w:rsidR="0055664B" w:rsidRPr="00E62113">
        <w:rPr>
          <w:rFonts w:cstheme="minorHAnsi"/>
          <w:color w:val="3B3B3D"/>
          <w:sz w:val="22"/>
          <w:szCs w:val="22"/>
        </w:rPr>
        <w:t xml:space="preserve">juxtaposition of </w:t>
      </w:r>
      <w:r w:rsidR="00A155AA" w:rsidRPr="00E62113">
        <w:rPr>
          <w:rFonts w:cstheme="minorHAnsi"/>
          <w:color w:val="3B3B3D"/>
          <w:sz w:val="22"/>
          <w:szCs w:val="22"/>
        </w:rPr>
        <w:t>historical objectifications of Africans with contemporary projections of subject</w:t>
      </w:r>
      <w:r w:rsidR="00E62113">
        <w:rPr>
          <w:rFonts w:cstheme="minorHAnsi"/>
          <w:color w:val="3B3B3D"/>
          <w:sz w:val="22"/>
          <w:szCs w:val="22"/>
        </w:rPr>
        <w:t xml:space="preserve"> </w:t>
      </w:r>
      <w:r w:rsidR="00A155AA" w:rsidRPr="00E62113">
        <w:rPr>
          <w:rFonts w:cstheme="minorHAnsi"/>
          <w:color w:val="3B3B3D"/>
          <w:sz w:val="22"/>
          <w:szCs w:val="22"/>
        </w:rPr>
        <w:t xml:space="preserve">hood and </w:t>
      </w:r>
      <w:r w:rsidR="00E62113">
        <w:rPr>
          <w:rFonts w:cstheme="minorHAnsi"/>
          <w:color w:val="3B3B3D"/>
          <w:sz w:val="22"/>
          <w:szCs w:val="22"/>
        </w:rPr>
        <w:t>s</w:t>
      </w:r>
      <w:r w:rsidR="00A155AA" w:rsidRPr="00E62113">
        <w:rPr>
          <w:rFonts w:cstheme="minorHAnsi"/>
          <w:color w:val="3B3B3D"/>
          <w:sz w:val="22"/>
          <w:szCs w:val="22"/>
        </w:rPr>
        <w:t>ubjectivity</w:t>
      </w:r>
      <w:r w:rsidR="0055664B" w:rsidRPr="00E62113">
        <w:rPr>
          <w:rFonts w:cstheme="minorHAnsi"/>
          <w:color w:val="3B3B3D"/>
          <w:sz w:val="22"/>
          <w:szCs w:val="22"/>
        </w:rPr>
        <w:t xml:space="preserve"> gives </w:t>
      </w:r>
      <w:r w:rsidR="00A155AA" w:rsidRPr="00E62113">
        <w:rPr>
          <w:rFonts w:cstheme="minorHAnsi"/>
          <w:i/>
          <w:color w:val="3B3B3D"/>
          <w:sz w:val="22"/>
          <w:szCs w:val="22"/>
        </w:rPr>
        <w:t>ReSignifications</w:t>
      </w:r>
      <w:r w:rsidR="00E62113">
        <w:rPr>
          <w:rFonts w:cstheme="minorHAnsi"/>
          <w:i/>
          <w:color w:val="3B3B3D"/>
          <w:sz w:val="22"/>
          <w:szCs w:val="22"/>
        </w:rPr>
        <w:t xml:space="preserve"> </w:t>
      </w:r>
      <w:r w:rsidR="0055664B" w:rsidRPr="00E62113">
        <w:rPr>
          <w:rFonts w:cstheme="minorHAnsi"/>
          <w:color w:val="3B3B3D"/>
          <w:sz w:val="22"/>
          <w:szCs w:val="22"/>
        </w:rPr>
        <w:t>its texture and flavor, thereb</w:t>
      </w:r>
      <w:r w:rsidR="00A155AA" w:rsidRPr="00E62113">
        <w:rPr>
          <w:rFonts w:cstheme="minorHAnsi"/>
          <w:color w:val="3B3B3D"/>
          <w:sz w:val="22"/>
          <w:szCs w:val="22"/>
        </w:rPr>
        <w:t xml:space="preserve">y underscoring the defiant words of </w:t>
      </w:r>
      <w:r w:rsidR="00A155AA" w:rsidRPr="00E62113">
        <w:rPr>
          <w:rFonts w:cstheme="minorHAnsi"/>
          <w:color w:val="3B3B3D"/>
          <w:sz w:val="22"/>
          <w:szCs w:val="22"/>
        </w:rPr>
        <w:lastRenderedPageBreak/>
        <w:t>Giam</w:t>
      </w:r>
      <w:r w:rsidR="0055664B" w:rsidRPr="00E62113">
        <w:rPr>
          <w:rFonts w:cstheme="minorHAnsi"/>
          <w:color w:val="3B3B3D"/>
          <w:sz w:val="22"/>
          <w:szCs w:val="22"/>
        </w:rPr>
        <w:t xml:space="preserve">battista Marino (1569-1625): “Nera sì, ma se’ bella.” </w:t>
      </w:r>
      <w:r w:rsidR="0097407D" w:rsidRPr="00E62113">
        <w:rPr>
          <w:rFonts w:cstheme="minorHAnsi"/>
          <w:color w:val="3B3B3D"/>
          <w:sz w:val="22"/>
          <w:szCs w:val="22"/>
        </w:rPr>
        <w:t xml:space="preserve">(“Black yes, but so beautiful”). </w:t>
      </w:r>
      <w:r w:rsidR="009F3158" w:rsidRPr="00E62113">
        <w:rPr>
          <w:rStyle w:val="Rimandonotaapidipagina"/>
          <w:rFonts w:cstheme="minorHAnsi"/>
          <w:color w:val="3B3B3D"/>
          <w:sz w:val="22"/>
          <w:szCs w:val="22"/>
        </w:rPr>
        <w:footnoteReference w:id="4"/>
      </w:r>
    </w:p>
    <w:p w:rsidR="002365D4" w:rsidRPr="00E62113" w:rsidRDefault="002365D4" w:rsidP="00E62113">
      <w:pPr>
        <w:autoSpaceDE w:val="0"/>
        <w:autoSpaceDN w:val="0"/>
        <w:adjustRightInd w:val="0"/>
        <w:jc w:val="right"/>
        <w:rPr>
          <w:rFonts w:cstheme="minorHAnsi"/>
          <w:b/>
          <w:color w:val="3B3B3D"/>
          <w:sz w:val="22"/>
          <w:szCs w:val="22"/>
        </w:rPr>
      </w:pPr>
      <w:r w:rsidRPr="00E62113">
        <w:rPr>
          <w:rFonts w:cstheme="minorHAnsi"/>
          <w:b/>
          <w:color w:val="3B3B3D"/>
          <w:sz w:val="22"/>
          <w:szCs w:val="22"/>
        </w:rPr>
        <w:t>Awam</w:t>
      </w:r>
      <w:r w:rsidR="00E62113">
        <w:rPr>
          <w:rFonts w:cstheme="minorHAnsi"/>
          <w:b/>
          <w:color w:val="3B3B3D"/>
          <w:sz w:val="22"/>
          <w:szCs w:val="22"/>
        </w:rPr>
        <w:t xml:space="preserve"> </w:t>
      </w:r>
      <w:r w:rsidRPr="00E62113">
        <w:rPr>
          <w:rFonts w:cstheme="minorHAnsi"/>
          <w:b/>
          <w:color w:val="3B3B3D"/>
          <w:sz w:val="22"/>
          <w:szCs w:val="22"/>
        </w:rPr>
        <w:t>Amkpa</w:t>
      </w:r>
    </w:p>
    <w:p w:rsidR="002365D4" w:rsidRPr="00E62113" w:rsidRDefault="00E62113" w:rsidP="00E62113">
      <w:pPr>
        <w:autoSpaceDE w:val="0"/>
        <w:autoSpaceDN w:val="0"/>
        <w:adjustRightInd w:val="0"/>
        <w:jc w:val="right"/>
        <w:rPr>
          <w:rFonts w:cstheme="minorHAnsi"/>
          <w:b/>
          <w:i/>
          <w:color w:val="000000"/>
          <w:sz w:val="22"/>
          <w:szCs w:val="22"/>
        </w:rPr>
      </w:pPr>
      <w:r>
        <w:rPr>
          <w:rFonts w:cstheme="minorHAnsi"/>
          <w:b/>
          <w:i/>
          <w:color w:val="3B3B3D"/>
          <w:sz w:val="22"/>
          <w:szCs w:val="22"/>
        </w:rPr>
        <w:t>c</w:t>
      </w:r>
      <w:r w:rsidR="002365D4" w:rsidRPr="00E62113">
        <w:rPr>
          <w:rFonts w:cstheme="minorHAnsi"/>
          <w:b/>
          <w:i/>
          <w:color w:val="3B3B3D"/>
          <w:sz w:val="22"/>
          <w:szCs w:val="22"/>
        </w:rPr>
        <w:t>urator</w:t>
      </w:r>
    </w:p>
    <w:p w:rsidR="00AD6CBF" w:rsidRPr="0055664B" w:rsidRDefault="004603FA" w:rsidP="00E62113">
      <w:pPr>
        <w:rPr>
          <w:rFonts w:ascii="Helvetica" w:hAnsi="Helvetica"/>
        </w:rPr>
      </w:pPr>
    </w:p>
    <w:sectPr w:rsidR="00AD6CBF" w:rsidRPr="0055664B" w:rsidSect="00E62113">
      <w:pgSz w:w="12240" w:h="15840"/>
      <w:pgMar w:top="993" w:right="1440" w:bottom="1440" w:left="1440" w:header="510" w:footer="17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3FA" w:rsidRDefault="004603FA" w:rsidP="00657B91">
      <w:r>
        <w:separator/>
      </w:r>
    </w:p>
  </w:endnote>
  <w:endnote w:type="continuationSeparator" w:id="1">
    <w:p w:rsidR="004603FA" w:rsidRDefault="004603FA" w:rsidP="00657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0"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3FA" w:rsidRDefault="004603FA" w:rsidP="00657B91">
      <w:r>
        <w:separator/>
      </w:r>
    </w:p>
  </w:footnote>
  <w:footnote w:type="continuationSeparator" w:id="1">
    <w:p w:rsidR="004603FA" w:rsidRDefault="004603FA" w:rsidP="00657B91">
      <w:r>
        <w:continuationSeparator/>
      </w:r>
    </w:p>
  </w:footnote>
  <w:footnote w:id="2">
    <w:p w:rsidR="00657B91" w:rsidRPr="00E62113" w:rsidRDefault="00657B91" w:rsidP="00E62113">
      <w:pPr>
        <w:autoSpaceDE w:val="0"/>
        <w:autoSpaceDN w:val="0"/>
        <w:adjustRightInd w:val="0"/>
        <w:spacing w:after="240" w:line="280" w:lineRule="atLeast"/>
        <w:rPr>
          <w:sz w:val="18"/>
          <w:szCs w:val="18"/>
        </w:rPr>
      </w:pPr>
      <w:r w:rsidRPr="00E62113">
        <w:rPr>
          <w:rStyle w:val="Rimandonotaapidipagina"/>
          <w:sz w:val="18"/>
          <w:szCs w:val="18"/>
        </w:rPr>
        <w:footnoteRef/>
      </w:r>
      <w:r w:rsidR="00A155AA" w:rsidRPr="00E62113">
        <w:rPr>
          <w:rFonts w:ascii="Times" w:hAnsi="Times" w:cs="Times"/>
          <w:color w:val="000000"/>
          <w:sz w:val="18"/>
          <w:szCs w:val="18"/>
        </w:rPr>
        <w:t xml:space="preserve">AfonsoÁlvares’ expression is taken from T.F. Earle, “Black Africans versus Jews: Religious and Racial Tension in a Portuguese Saint’s Play,” in T. F. Earle and K. J. P. Lowe, eds. </w:t>
      </w:r>
      <w:r w:rsidR="00A155AA" w:rsidRPr="00E62113">
        <w:rPr>
          <w:rFonts w:ascii="Times" w:hAnsi="Times" w:cs="Times"/>
          <w:i/>
          <w:iCs/>
          <w:color w:val="000000"/>
          <w:sz w:val="18"/>
          <w:szCs w:val="18"/>
        </w:rPr>
        <w:t xml:space="preserve">Black Africans in Renaissance Europe </w:t>
      </w:r>
      <w:r w:rsidR="00A155AA" w:rsidRPr="00E62113">
        <w:rPr>
          <w:rFonts w:ascii="Times" w:hAnsi="Times" w:cs="Times"/>
          <w:color w:val="000000"/>
          <w:sz w:val="18"/>
          <w:szCs w:val="18"/>
        </w:rPr>
        <w:t xml:space="preserve">(Cambridge: Cambridge University Press), 347. </w:t>
      </w:r>
      <w:r w:rsidR="002B5275" w:rsidRPr="00E62113">
        <w:rPr>
          <w:rFonts w:ascii="Times" w:hAnsi="Times" w:cs="Times"/>
          <w:color w:val="000000"/>
          <w:sz w:val="18"/>
          <w:szCs w:val="18"/>
        </w:rPr>
        <w:t>2011</w:t>
      </w:r>
    </w:p>
  </w:footnote>
  <w:footnote w:id="3">
    <w:p w:rsidR="007C112C" w:rsidRPr="00E62113" w:rsidRDefault="007C112C">
      <w:pPr>
        <w:pStyle w:val="Testonotaapidipagina"/>
        <w:rPr>
          <w:sz w:val="18"/>
          <w:szCs w:val="18"/>
        </w:rPr>
      </w:pPr>
      <w:r w:rsidRPr="00E62113">
        <w:rPr>
          <w:rStyle w:val="Rimandonotaapidipagina"/>
          <w:sz w:val="18"/>
          <w:szCs w:val="18"/>
        </w:rPr>
        <w:footnoteRef/>
      </w:r>
      <w:r w:rsidR="002B5275" w:rsidRPr="00E62113">
        <w:rPr>
          <w:sz w:val="18"/>
          <w:szCs w:val="18"/>
        </w:rPr>
        <w:t xml:space="preserve">Cited from Ella Shohat in “The Specter of the Blackamoor: Figuring Africa and the Orient” in AwamAmkpa (ed) </w:t>
      </w:r>
      <w:r w:rsidR="002B5275" w:rsidRPr="00E62113">
        <w:rPr>
          <w:i/>
          <w:sz w:val="18"/>
          <w:szCs w:val="18"/>
        </w:rPr>
        <w:t>Resignifications: European Blackamoors, Africana Readings</w:t>
      </w:r>
      <w:r w:rsidR="002B5275" w:rsidRPr="00E62113">
        <w:rPr>
          <w:sz w:val="18"/>
          <w:szCs w:val="18"/>
        </w:rPr>
        <w:t>. Postcart, Rome. 2017 p.95</w:t>
      </w:r>
    </w:p>
  </w:footnote>
  <w:footnote w:id="4">
    <w:p w:rsidR="009F3158" w:rsidRDefault="009F3158">
      <w:pPr>
        <w:pStyle w:val="Testonotaapidipagina"/>
      </w:pPr>
      <w:r>
        <w:rPr>
          <w:rStyle w:val="Rimandonotaapidipagina"/>
        </w:rPr>
        <w:footnoteRef/>
      </w:r>
      <w:r>
        <w:t xml:space="preserve">Giambattista Marino in his </w:t>
      </w:r>
      <w:r w:rsidR="002E1061">
        <w:t>sonnet“</w:t>
      </w:r>
      <w:r>
        <w:t>Bella Schiava</w:t>
      </w:r>
      <w:r w:rsidR="002E1061">
        <w:t xml:space="preserve">” (Beautiful Slave) cited in Joaneth Spicer “European Perception of Blackness As Reflected in the Visual Arts” in </w:t>
      </w:r>
      <w:r w:rsidR="002E1061">
        <w:rPr>
          <w:rFonts w:ascii="Times" w:hAnsi="Times" w:cs="Times"/>
          <w:color w:val="000000"/>
        </w:rPr>
        <w:t xml:space="preserve">T. F. Earle and K. J. P. Lowe, eds. </w:t>
      </w:r>
      <w:r w:rsidR="002E1061">
        <w:rPr>
          <w:rFonts w:ascii="Times" w:hAnsi="Times" w:cs="Times"/>
          <w:i/>
          <w:iCs/>
          <w:color w:val="000000"/>
        </w:rPr>
        <w:t xml:space="preserve">Black Africans in Renaissance Europe </w:t>
      </w:r>
      <w:r w:rsidR="002E1061">
        <w:rPr>
          <w:rFonts w:ascii="Times" w:hAnsi="Times" w:cs="Times"/>
          <w:color w:val="000000"/>
        </w:rPr>
        <w:t>(Cambridge: Cambridge University Press), 47. 2011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97407D"/>
    <w:rsid w:val="00010254"/>
    <w:rsid w:val="000B2CDC"/>
    <w:rsid w:val="00162CDC"/>
    <w:rsid w:val="002365D4"/>
    <w:rsid w:val="002B5275"/>
    <w:rsid w:val="002E1061"/>
    <w:rsid w:val="004603FA"/>
    <w:rsid w:val="0055664B"/>
    <w:rsid w:val="0061258C"/>
    <w:rsid w:val="00632887"/>
    <w:rsid w:val="00657B91"/>
    <w:rsid w:val="006C4643"/>
    <w:rsid w:val="007C112C"/>
    <w:rsid w:val="0097407D"/>
    <w:rsid w:val="009B5856"/>
    <w:rsid w:val="009F3158"/>
    <w:rsid w:val="00A155AA"/>
    <w:rsid w:val="00AA747D"/>
    <w:rsid w:val="00B25BA8"/>
    <w:rsid w:val="00CE6D5D"/>
    <w:rsid w:val="00D361C3"/>
    <w:rsid w:val="00E62113"/>
    <w:rsid w:val="00ED1ACB"/>
    <w:rsid w:val="00F308A3"/>
    <w:rsid w:val="00F54AAA"/>
    <w:rsid w:val="00F85F1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D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57B91"/>
    <w:rPr>
      <w:sz w:val="20"/>
      <w:szCs w:val="20"/>
    </w:rPr>
  </w:style>
  <w:style w:type="character" w:customStyle="1" w:styleId="TestonotaapidipaginaCarattere">
    <w:name w:val="Testo nota a piè di pagina Carattere"/>
    <w:basedOn w:val="Carpredefinitoparagrafo"/>
    <w:link w:val="Testonotaapidipagina"/>
    <w:uiPriority w:val="99"/>
    <w:semiHidden/>
    <w:rsid w:val="00657B91"/>
    <w:rPr>
      <w:sz w:val="20"/>
      <w:szCs w:val="20"/>
    </w:rPr>
  </w:style>
  <w:style w:type="character" w:styleId="Rimandonotaapidipagina">
    <w:name w:val="footnote reference"/>
    <w:basedOn w:val="Carpredefinitoparagrafo"/>
    <w:uiPriority w:val="99"/>
    <w:semiHidden/>
    <w:unhideWhenUsed/>
    <w:rsid w:val="00657B91"/>
    <w:rPr>
      <w:vertAlign w:val="superscript"/>
    </w:rPr>
  </w:style>
  <w:style w:type="paragraph" w:styleId="Intestazione">
    <w:name w:val="header"/>
    <w:basedOn w:val="Normale"/>
    <w:link w:val="IntestazioneCarattere"/>
    <w:uiPriority w:val="99"/>
    <w:semiHidden/>
    <w:unhideWhenUsed/>
    <w:rsid w:val="00E6211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62113"/>
  </w:style>
  <w:style w:type="paragraph" w:styleId="Pidipagina">
    <w:name w:val="footer"/>
    <w:basedOn w:val="Normale"/>
    <w:link w:val="PidipaginaCarattere"/>
    <w:uiPriority w:val="99"/>
    <w:semiHidden/>
    <w:unhideWhenUsed/>
    <w:rsid w:val="00E6211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621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57B91"/>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657B91"/>
    <w:rPr>
      <w:sz w:val="20"/>
      <w:szCs w:val="20"/>
    </w:rPr>
  </w:style>
  <w:style w:type="character" w:styleId="Rimandonotaapidipagina">
    <w:name w:val="footnote reference"/>
    <w:basedOn w:val="Caratterepredefinitoparagrafo"/>
    <w:uiPriority w:val="99"/>
    <w:semiHidden/>
    <w:unhideWhenUsed/>
    <w:rsid w:val="00657B91"/>
    <w:rPr>
      <w:vertAlign w:val="superscript"/>
    </w:rPr>
  </w:style>
</w:styles>
</file>

<file path=word/webSettings.xml><?xml version="1.0" encoding="utf-8"?>
<w:webSettings xmlns:r="http://schemas.openxmlformats.org/officeDocument/2006/relationships" xmlns:w="http://schemas.openxmlformats.org/wordprocessingml/2006/main">
  <w:divs>
    <w:div w:id="1260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44F1-6D3D-DD49-9217-DB57D0F5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3223</Characters>
  <Application>Microsoft Office Word</Application>
  <DocSecurity>0</DocSecurity>
  <Lines>74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Simonetta Trovato</cp:lastModifiedBy>
  <cp:revision>2</cp:revision>
  <dcterms:created xsi:type="dcterms:W3CDTF">2018-06-05T22:54:00Z</dcterms:created>
  <dcterms:modified xsi:type="dcterms:W3CDTF">2018-06-05T22:54:00Z</dcterms:modified>
</cp:coreProperties>
</file>